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center"/>
        <w:rPr>
          <w:rFonts w:hint="eastAsia" w:ascii="仿宋_GB2312" w:hAnsi="宋体" w:eastAsia="仿宋_GB2312"/>
          <w:color w:val="000000"/>
          <w:sz w:val="32"/>
        </w:rPr>
      </w:pPr>
    </w:p>
    <w:p>
      <w:pPr>
        <w:spacing w:line="640" w:lineRule="exact"/>
        <w:jc w:val="center"/>
        <w:rPr>
          <w:rFonts w:hint="eastAsia" w:ascii="仿宋_GB2312" w:hAnsi="宋体" w:eastAsia="仿宋_GB2312"/>
          <w:color w:val="000000"/>
          <w:sz w:val="32"/>
        </w:rPr>
      </w:pPr>
    </w:p>
    <w:p>
      <w:pPr>
        <w:spacing w:line="640" w:lineRule="exact"/>
        <w:jc w:val="center"/>
        <w:rPr>
          <w:rFonts w:hint="eastAsia" w:ascii="仿宋_GB2312" w:hAnsi="宋体" w:eastAsia="仿宋_GB2312"/>
          <w:color w:val="000000"/>
          <w:sz w:val="32"/>
        </w:rPr>
      </w:pPr>
    </w:p>
    <w:p>
      <w:pPr>
        <w:spacing w:line="640" w:lineRule="exact"/>
        <w:jc w:val="center"/>
        <w:rPr>
          <w:rFonts w:hint="eastAsia" w:ascii="仿宋_GB2312" w:hAnsi="宋体" w:eastAsia="仿宋_GB2312"/>
          <w:color w:val="000000"/>
          <w:sz w:val="32"/>
        </w:rPr>
      </w:pPr>
    </w:p>
    <w:p>
      <w:pPr>
        <w:spacing w:line="640" w:lineRule="exact"/>
        <w:rPr>
          <w:rFonts w:hint="eastAsia" w:ascii="仿宋_GB2312" w:hAnsi="宋体" w:eastAsia="仿宋_GB2312"/>
          <w:color w:val="000000"/>
          <w:sz w:val="32"/>
        </w:rPr>
      </w:pPr>
    </w:p>
    <w:p>
      <w:pPr>
        <w:spacing w:line="640" w:lineRule="exact"/>
        <w:rPr>
          <w:rFonts w:hint="eastAsia" w:ascii="仿宋_GB2312" w:hAnsi="宋体" w:eastAsia="仿宋_GB2312"/>
          <w:color w:val="000000"/>
          <w:sz w:val="32"/>
        </w:rPr>
      </w:pPr>
    </w:p>
    <w:p>
      <w:pPr>
        <w:spacing w:line="300" w:lineRule="exact"/>
        <w:rPr>
          <w:rFonts w:hint="eastAsia" w:ascii="仿宋_GB2312" w:hAnsi="宋体" w:eastAsia="仿宋_GB2312"/>
          <w:color w:val="000000"/>
          <w:sz w:val="32"/>
        </w:rPr>
      </w:pPr>
    </w:p>
    <w:p>
      <w:pPr>
        <w:spacing w:line="580" w:lineRule="exact"/>
        <w:jc w:val="center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泉医专人〔202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〕 号</w:t>
      </w:r>
    </w:p>
    <w:p>
      <w:pPr>
        <w:spacing w:line="480" w:lineRule="exact"/>
        <w:jc w:val="center"/>
        <w:rPr>
          <w:rFonts w:hint="eastAsia" w:ascii="宋体"/>
          <w:b/>
          <w:bCs/>
          <w:color w:val="000000"/>
          <w:sz w:val="18"/>
          <w:szCs w:val="1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w w:val="95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w w:val="95"/>
          <w:sz w:val="44"/>
          <w:szCs w:val="44"/>
        </w:rPr>
        <w:t>关于开展202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w w:val="95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w w:val="95"/>
          <w:sz w:val="44"/>
          <w:szCs w:val="44"/>
        </w:rPr>
        <w:t>年度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w w:val="95"/>
          <w:sz w:val="44"/>
          <w:szCs w:val="44"/>
          <w:lang w:val="en-US" w:eastAsia="zh-CN"/>
        </w:rPr>
        <w:t>第二批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w w:val="95"/>
          <w:sz w:val="44"/>
          <w:szCs w:val="44"/>
        </w:rPr>
        <w:t>中长期进修培训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w w:val="95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w w:val="95"/>
          <w:sz w:val="44"/>
          <w:szCs w:val="44"/>
        </w:rPr>
        <w:t>申报工作的通知</w:t>
      </w:r>
    </w:p>
    <w:p>
      <w:pPr>
        <w:spacing w:line="510" w:lineRule="exact"/>
        <w:rPr>
          <w:rFonts w:hint="eastAsia" w:ascii="仿宋_GB2312" w:hAnsi="宋体" w:eastAsia="仿宋_GB2312"/>
          <w:spacing w:val="-2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各部、处、室，各院、部、中心、馆：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0" w:firstLineChars="25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根据《泉州医学高等专科学校教职工进修培训管理办法（修订）》（泉医专〔2025〕98号，下称《办法》）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，现就202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年度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第二批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申请参加学历学位进修、访问学者研修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及其他中长期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进修培训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通知如下：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3" w:firstLineChars="25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</w:rPr>
        <w:t>一、申请对象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0" w:firstLineChars="25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全体教职医护员工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3" w:firstLineChars="25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</w:rPr>
        <w:t>二、进修形式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0" w:firstLineChars="25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包括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学历学位进修、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国内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访问学者研修、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国（境）外进修培训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3" w:firstLineChars="25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/>
        </w:rPr>
        <w:t>三、名额分配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0" w:firstLineChars="25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/>
        </w:rPr>
        <w:t>1.学历学位进修：不设名额限制。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0" w:firstLineChars="25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/>
        </w:rPr>
        <w:t>2.国内访问学者研修：各院部均不超过2人。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0" w:firstLineChars="25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国（境）外进修培训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0" w:firstLineChars="25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国（境）外访问学者：全校不超过5人，各院部至多推荐1人。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0" w:firstLineChars="25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国（境）外管理进修：全校不超过2人，各部门至多推荐1人。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0" w:firstLineChars="25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国（境）外博士后研究：各院部均不超过1人。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3" w:firstLineChars="25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</w:rPr>
        <w:t>、有关要求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0" w:firstLineChars="25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1.申请对象向所在部门提出申请，各部门于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eastAsia="zh-CN"/>
        </w:rPr>
        <w:t>下午下班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前向人事处报送同意申请外出中长期进修培训汇总表（详见附件），双肩挑教职医护员工须同时征得兼任行政工作部门同意。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0" w:firstLineChars="25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2.人事处按程序报学校研究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形成审核人员名单（计划）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没有进入审核人员名单（计划）的，不予进入审批程序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0" w:firstLineChars="25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3.五年周期内（即202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年1月1日以来）有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中长期进修培训经历、入校时间不满2年的，原则上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不得申请。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博士研究生学历学位提升或学校因项目需要安排的进修除外。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0" w:firstLineChars="25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4.申请进修人员须符合《办法》相关项目的条件要求。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3" w:firstLineChars="250"/>
        <w:textAlignment w:val="auto"/>
        <w:rPr>
          <w:rFonts w:hint="eastAsia" w:ascii="仿宋_GB2312" w:hAnsi="仿宋_GB2312" w:eastAsia="仿宋_GB2312" w:cs="仿宋_GB2312"/>
          <w:b/>
          <w:color w:val="auto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kern w:val="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/>
          <w:color w:val="auto"/>
          <w:kern w:val="2"/>
          <w:sz w:val="32"/>
          <w:szCs w:val="32"/>
        </w:rPr>
        <w:t>、其他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0" w:firstLineChars="25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申请进修人员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最迟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于202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年9月前外出进修，逾期视为放弃资格。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0" w:firstLineChars="25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申请进修人员进修期间相关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待遇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eastAsia="zh-CN"/>
        </w:rPr>
        <w:t>、管理等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按照《办法》规定执行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00" w:firstLineChars="25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附件：202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</w:rPr>
        <w:t>年度中长期进修培训申报情况汇总表</w:t>
      </w:r>
    </w:p>
    <w:p>
      <w:pPr>
        <w:spacing w:line="520" w:lineRule="exact"/>
        <w:ind w:right="140" w:firstLine="3833" w:firstLineChars="1198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520" w:lineRule="exact"/>
        <w:ind w:right="140" w:firstLine="3833" w:firstLineChars="1198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泉州医学高等专科学校人事处</w:t>
      </w:r>
    </w:p>
    <w:p>
      <w:pPr>
        <w:spacing w:line="520" w:lineRule="exact"/>
        <w:ind w:right="140" w:firstLine="4633" w:firstLineChars="1448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pStyle w:val="4"/>
        <w:spacing w:line="600" w:lineRule="exact"/>
        <w:rPr>
          <w:rFonts w:hint="eastAsia" w:ascii="仿宋_GB2312" w:eastAsia="仿宋_GB2312"/>
          <w:color w:val="auto"/>
          <w:kern w:val="2"/>
          <w:sz w:val="32"/>
          <w:szCs w:val="32"/>
        </w:rPr>
      </w:pPr>
      <w:r>
        <w:rPr>
          <w:rFonts w:hint="eastAsia" w:ascii="仿宋_GB2312" w:eastAsia="仿宋_GB2312"/>
          <w:color w:val="auto"/>
          <w:kern w:val="2"/>
          <w:sz w:val="32"/>
          <w:szCs w:val="32"/>
        </w:rPr>
        <w:t>附件</w:t>
      </w:r>
    </w:p>
    <w:p>
      <w:pPr>
        <w:pStyle w:val="4"/>
        <w:spacing w:line="520" w:lineRule="exact"/>
        <w:jc w:val="center"/>
        <w:rPr>
          <w:rFonts w:hint="eastAsia" w:ascii="宋体" w:hAnsi="宋体" w:eastAsia="宋体" w:cs="宋体"/>
          <w:b/>
          <w:bCs/>
          <w:color w:val="auto"/>
          <w:kern w:val="2"/>
          <w:sz w:val="44"/>
          <w:szCs w:val="44"/>
        </w:rPr>
      </w:pPr>
    </w:p>
    <w:p>
      <w:pPr>
        <w:pStyle w:val="4"/>
        <w:spacing w:line="520" w:lineRule="exact"/>
        <w:jc w:val="center"/>
        <w:rPr>
          <w:rFonts w:hint="eastAsia" w:ascii="宋体" w:hAnsi="宋体" w:eastAsia="宋体" w:cs="宋体"/>
          <w:b/>
          <w:bCs/>
          <w:color w:val="auto"/>
          <w:kern w:val="2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44"/>
          <w:szCs w:val="44"/>
        </w:rPr>
        <w:t>202</w:t>
      </w:r>
      <w:r>
        <w:rPr>
          <w:rFonts w:hint="eastAsia" w:ascii="宋体" w:hAnsi="宋体" w:eastAsia="宋体" w:cs="宋体"/>
          <w:b/>
          <w:bCs/>
          <w:color w:val="auto"/>
          <w:kern w:val="2"/>
          <w:sz w:val="44"/>
          <w:szCs w:val="44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kern w:val="2"/>
          <w:sz w:val="44"/>
          <w:szCs w:val="44"/>
        </w:rPr>
        <w:t>年度中长期进修培训申报情况汇总表</w:t>
      </w:r>
    </w:p>
    <w:p>
      <w:pPr>
        <w:pStyle w:val="4"/>
        <w:spacing w:line="520" w:lineRule="exact"/>
        <w:jc w:val="left"/>
        <w:rPr>
          <w:rFonts w:hint="eastAsia" w:ascii="仿宋" w:hAnsi="仿宋" w:eastAsia="仿宋" w:cs="仿宋"/>
          <w:color w:val="auto"/>
          <w:kern w:val="2"/>
          <w:sz w:val="32"/>
          <w:szCs w:val="32"/>
        </w:rPr>
      </w:pPr>
    </w:p>
    <w:p>
      <w:pPr>
        <w:pStyle w:val="4"/>
        <w:spacing w:line="520" w:lineRule="exact"/>
        <w:jc w:val="left"/>
        <w:rPr>
          <w:rFonts w:ascii="仿宋" w:hAnsi="仿宋" w:eastAsia="仿宋" w:cs="仿宋"/>
          <w:color w:val="auto"/>
          <w:kern w:val="2"/>
          <w:sz w:val="32"/>
          <w:szCs w:val="32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</w:rPr>
        <w:t>部门（盖章）：</w:t>
      </w:r>
      <w:r>
        <w:rPr>
          <w:rFonts w:hint="eastAsia" w:ascii="仿宋" w:hAnsi="仿宋" w:eastAsia="仿宋" w:cs="仿宋"/>
          <w:color w:val="auto"/>
          <w:kern w:val="2"/>
          <w:sz w:val="32"/>
          <w:szCs w:val="32"/>
          <w:u w:val="single"/>
        </w:rPr>
        <w:t xml:space="preserve">                </w:t>
      </w:r>
      <w:r>
        <w:rPr>
          <w:rFonts w:hint="eastAsia" w:ascii="仿宋" w:hAnsi="仿宋" w:eastAsia="仿宋" w:cs="仿宋"/>
          <w:color w:val="auto"/>
          <w:kern w:val="2"/>
          <w:sz w:val="32"/>
          <w:szCs w:val="32"/>
        </w:rPr>
        <w:t xml:space="preserve">             年  月  日</w:t>
      </w:r>
    </w:p>
    <w:tbl>
      <w:tblPr>
        <w:tblStyle w:val="5"/>
        <w:tblpPr w:leftFromText="180" w:rightFromText="180" w:vertAnchor="text" w:horzAnchor="page" w:tblpX="727" w:tblpY="258"/>
        <w:tblOverlap w:val="never"/>
        <w:tblW w:w="10367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7"/>
        <w:gridCol w:w="750"/>
        <w:gridCol w:w="700"/>
        <w:gridCol w:w="750"/>
        <w:gridCol w:w="665"/>
        <w:gridCol w:w="635"/>
        <w:gridCol w:w="650"/>
        <w:gridCol w:w="617"/>
        <w:gridCol w:w="1116"/>
        <w:gridCol w:w="1250"/>
        <w:gridCol w:w="1317"/>
        <w:gridCol w:w="145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tblHeader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序号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姓名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性别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所属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学院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出生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年月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学历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学位</w:t>
            </w: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职称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进修形式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进修单位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（专业）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进修时间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i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近五年业绩情况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tblHeader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tblHeader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tblHeader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</w:p>
        </w:tc>
      </w:tr>
    </w:tbl>
    <w:p>
      <w:pPr>
        <w:pStyle w:val="4"/>
        <w:spacing w:line="600" w:lineRule="exact"/>
        <w:rPr>
          <w:rFonts w:hint="eastAsia" w:ascii="仿宋_GB2312" w:eastAsia="仿宋_GB2312"/>
          <w:color w:val="auto"/>
          <w:kern w:val="2"/>
          <w:sz w:val="32"/>
          <w:szCs w:val="32"/>
        </w:rPr>
      </w:pPr>
    </w:p>
    <w:p>
      <w:pPr>
        <w:pStyle w:val="4"/>
        <w:spacing w:line="600" w:lineRule="exact"/>
        <w:rPr>
          <w:rFonts w:ascii="仿宋_GB2312" w:eastAsia="仿宋_GB2312"/>
          <w:color w:val="auto"/>
          <w:kern w:val="2"/>
          <w:sz w:val="32"/>
          <w:szCs w:val="32"/>
        </w:rPr>
      </w:pPr>
      <w:r>
        <w:rPr>
          <w:rFonts w:hint="eastAsia" w:ascii="仿宋_GB2312" w:eastAsia="仿宋_GB2312"/>
          <w:color w:val="auto"/>
          <w:kern w:val="2"/>
          <w:sz w:val="32"/>
          <w:szCs w:val="32"/>
        </w:rPr>
        <w:t>注：请用excel制表。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F0B0F"/>
    <w:rsid w:val="004F0B0F"/>
    <w:rsid w:val="00AD0785"/>
    <w:rsid w:val="567C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宋体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99" w:semiHidden="0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99"/>
    <w:pPr>
      <w:ind w:firstLine="562" w:firstLineChars="200"/>
    </w:pPr>
    <w:rPr>
      <w:rFonts w:ascii="宋体" w:hAnsi="宋体"/>
      <w:szCs w:val="28"/>
    </w:rPr>
  </w:style>
  <w:style w:type="paragraph" w:styleId="3">
    <w:name w:val="Body Text"/>
    <w:basedOn w:val="1"/>
    <w:next w:val="1"/>
    <w:unhideWhenUsed/>
    <w:qFormat/>
    <w:uiPriority w:val="0"/>
    <w:pPr>
      <w:spacing w:after="120"/>
    </w:pPr>
  </w:style>
  <w:style w:type="paragraph" w:styleId="4">
    <w:name w:val="Body Text 2"/>
    <w:basedOn w:val="1"/>
    <w:uiPriority w:val="0"/>
    <w:rPr>
      <w:rFonts w:ascii="楷体_GB2312" w:eastAsia="楷体_GB2312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Zhuozhengsoft</Company>
  <Pages>1</Pages>
  <Words>0</Words>
  <Characters>0</Characters>
  <Lines>1</Lines>
  <Paragraphs>1</Paragraphs>
  <TotalTime>1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2012-06-22T17:41:00Z</dcterms:created>
  <dc:creator>somebody</dc:creator>
  <cp:lastModifiedBy>Hp</cp:lastModifiedBy>
  <dcterms:modified xsi:type="dcterms:W3CDTF">2026-01-29T09:27:07Z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